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188" w:type="dxa"/>
        <w:tblInd w:w="142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977"/>
        <w:gridCol w:w="5211"/>
      </w:tblGrid>
      <w:tr w:rsidR="00231552" w:rsidTr="00231552">
        <w:trPr>
          <w:trHeight w:val="454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产品名称</w:t>
            </w:r>
          </w:p>
        </w:tc>
        <w:tc>
          <w:tcPr>
            <w:tcW w:w="5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31552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便携式快速实时荧光定量PCR仪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color w:val="BF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BF0000"/>
                <w:sz w:val="21"/>
                <w:szCs w:val="21"/>
              </w:rPr>
              <w:t>*样本容量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jc w:val="left"/>
              <w:rPr>
                <w:rFonts w:ascii="宋体" w:hAnsi="宋体" w:cs="宋体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sz w:val="21"/>
                <w:szCs w:val="21"/>
              </w:rPr>
              <w:t>16×0.2ml离心管（5-100μl）,适应常规</w:t>
            </w:r>
            <w:r>
              <w:rPr>
                <w:rFonts w:ascii="宋体" w:hAnsi="宋体" w:cs="宋体"/>
                <w:sz w:val="21"/>
                <w:szCs w:val="21"/>
              </w:rPr>
              <w:t>0.2ml</w:t>
            </w:r>
            <w:r>
              <w:rPr>
                <w:rFonts w:ascii="宋体" w:hAnsi="宋体" w:cs="宋体" w:hint="eastAsia"/>
                <w:sz w:val="21"/>
                <w:szCs w:val="21"/>
              </w:rPr>
              <w:t>8联管及单管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反应灵敏度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10-10</w:t>
            </w:r>
            <w:r>
              <w:rPr>
                <w:rFonts w:ascii="宋体" w:hAnsi="宋体" w:cs="宋体" w:hint="eastAsia"/>
                <w:sz w:val="21"/>
                <w:szCs w:val="21"/>
                <w:vertAlign w:val="superscript"/>
              </w:rPr>
              <w:t>10</w:t>
            </w:r>
            <w:r>
              <w:rPr>
                <w:rFonts w:ascii="宋体" w:hAnsi="宋体" w:cs="宋体" w:hint="eastAsia"/>
                <w:sz w:val="21"/>
                <w:szCs w:val="21"/>
              </w:rPr>
              <w:t>Copies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color w:val="BF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BF0000"/>
                <w:sz w:val="21"/>
                <w:szCs w:val="21"/>
              </w:rPr>
              <w:t>*荧光染料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F1：FAM、SYBR GreenⅠ；F2：HEX、VIC、JOE、TET、YELLOW；F3:ROX；F4：CY5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通道数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四通道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光学系统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高亮度LED扫描，光电传感器扫描检测，免校准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热盖温度范围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Chars="200"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30-110℃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color w:val="BF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BF0000"/>
                <w:sz w:val="21"/>
                <w:szCs w:val="21"/>
              </w:rPr>
              <w:t>*检测试剂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开放式检测试剂耗材（通用常规</w:t>
            </w:r>
            <w:r>
              <w:rPr>
                <w:rFonts w:hAnsi="宋体" w:cs="宋体"/>
                <w:sz w:val="21"/>
                <w:szCs w:val="21"/>
              </w:rPr>
              <w:t>PCR</w:t>
            </w:r>
            <w:r>
              <w:rPr>
                <w:rFonts w:hAnsi="宋体" w:cs="宋体" w:hint="eastAsia"/>
                <w:sz w:val="21"/>
                <w:szCs w:val="21"/>
              </w:rPr>
              <w:t>项目</w:t>
            </w:r>
            <w:r>
              <w:rPr>
                <w:rFonts w:ascii="宋体" w:hAnsi="宋体" w:cs="宋体" w:hint="eastAsia"/>
                <w:sz w:val="21"/>
                <w:szCs w:val="21"/>
              </w:rPr>
              <w:t>）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温控范围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30℃-100℃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均匀性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≤±0.1℃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温控精度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≤±0.1℃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color w:val="BF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BF0000"/>
                <w:sz w:val="21"/>
                <w:szCs w:val="21"/>
              </w:rPr>
              <w:t>*升温速率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≥8℃/s(MAX)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荧光强度检测重复性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CV≤0.5%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荧光线性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线性回归系数r≥0.995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仪器通讯接口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USB 2.0(可进行文件导入、导出)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软件</w:t>
            </w:r>
          </w:p>
        </w:tc>
        <w:tc>
          <w:tcPr>
            <w:tcW w:w="5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仪器可直接进行结果及数据分析，并配套电脑版专用分析软件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color w:val="BF0000"/>
                <w:sz w:val="21"/>
                <w:szCs w:val="21"/>
              </w:rPr>
            </w:pPr>
            <w:r>
              <w:rPr>
                <w:rFonts w:ascii="宋体" w:hAnsi="宋体" w:cs="宋体" w:hint="eastAsia"/>
                <w:color w:val="BF0000"/>
                <w:sz w:val="21"/>
                <w:szCs w:val="21"/>
              </w:rPr>
              <w:t>*触控屏独立操作</w:t>
            </w:r>
          </w:p>
        </w:tc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LED7inch</w:t>
            </w:r>
            <w:r>
              <w:rPr>
                <w:rFonts w:hint="eastAsia"/>
                <w:sz w:val="21"/>
                <w:szCs w:val="21"/>
              </w:rPr>
              <w:t>彩色电容屏触控，无需连接电脑即可操作分析</w:t>
            </w:r>
          </w:p>
        </w:tc>
      </w:tr>
      <w:tr w:rsidR="00231552" w:rsidTr="00231552">
        <w:trPr>
          <w:trHeight w:val="454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注册认证</w:t>
            </w:r>
          </w:p>
        </w:tc>
        <w:tc>
          <w:tcPr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31552" w:rsidRDefault="00231552" w:rsidP="002705E8">
            <w:pPr>
              <w:pStyle w:val="a5"/>
              <w:widowControl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NMPA</w:t>
            </w:r>
            <w:r>
              <w:rPr>
                <w:rFonts w:hint="eastAsia"/>
                <w:sz w:val="21"/>
                <w:szCs w:val="21"/>
              </w:rPr>
              <w:t>认证</w:t>
            </w:r>
          </w:p>
        </w:tc>
      </w:tr>
    </w:tbl>
    <w:p w:rsidR="00231552" w:rsidRDefault="00231552" w:rsidP="00231552">
      <w:pPr>
        <w:rPr>
          <w:rFonts w:ascii="宋体" w:hAnsi="宋体"/>
          <w:sz w:val="24"/>
        </w:rPr>
      </w:pPr>
    </w:p>
    <w:p w:rsidR="00231552" w:rsidRDefault="00231552" w:rsidP="00231552">
      <w:pPr>
        <w:rPr>
          <w:rFonts w:ascii="宋体" w:hAnsi="宋体" w:hint="eastAsia"/>
          <w:sz w:val="24"/>
        </w:rPr>
      </w:pPr>
    </w:p>
    <w:p w:rsidR="00231552" w:rsidRDefault="00231552" w:rsidP="00231552">
      <w:pPr>
        <w:adjustRightInd w:val="0"/>
        <w:snapToGrid w:val="0"/>
        <w:spacing w:afterLines="150"/>
        <w:jc w:val="center"/>
        <w:rPr>
          <w:rFonts w:ascii="微软雅黑" w:eastAsia="微软雅黑" w:hAnsi="微软雅黑"/>
          <w:b/>
          <w:sz w:val="36"/>
        </w:rPr>
      </w:pPr>
      <w:r>
        <w:rPr>
          <w:rFonts w:ascii="微软雅黑" w:eastAsia="微软雅黑" w:hAnsi="微软雅黑" w:hint="eastAsia"/>
          <w:b/>
          <w:sz w:val="36"/>
        </w:rPr>
        <w:t>全自动核酸提取仪技术参数</w:t>
      </w:r>
    </w:p>
    <w:tbl>
      <w:tblPr>
        <w:tblStyle w:val="a7"/>
        <w:tblW w:w="0" w:type="auto"/>
        <w:jc w:val="center"/>
        <w:tblLook w:val="04A0"/>
      </w:tblPr>
      <w:tblGrid>
        <w:gridCol w:w="1715"/>
        <w:gridCol w:w="6807"/>
      </w:tblGrid>
      <w:tr w:rsidR="00231552" w:rsidTr="00231552">
        <w:trPr>
          <w:trHeight w:val="1041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基本功能*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本</w:t>
            </w:r>
            <w:r>
              <w:rPr>
                <w:rFonts w:ascii="微软雅黑" w:eastAsia="微软雅黑" w:hAnsi="微软雅黑"/>
                <w:sz w:val="24"/>
              </w:rPr>
              <w:t>产品应用于</w:t>
            </w:r>
            <w:r>
              <w:rPr>
                <w:rFonts w:ascii="微软雅黑" w:eastAsia="微软雅黑" w:hAnsi="微软雅黑" w:hint="eastAsia"/>
                <w:sz w:val="24"/>
              </w:rPr>
              <w:t>拭子类样本、体外</w:t>
            </w:r>
            <w:r>
              <w:rPr>
                <w:rFonts w:ascii="微软雅黑" w:eastAsia="微软雅黑" w:hAnsi="微软雅黑"/>
                <w:sz w:val="24"/>
              </w:rPr>
              <w:t>培养的细胞、</w:t>
            </w:r>
            <w:r>
              <w:rPr>
                <w:rFonts w:ascii="微软雅黑" w:eastAsia="微软雅黑" w:hAnsi="微软雅黑" w:hint="eastAsia"/>
                <w:sz w:val="24"/>
              </w:rPr>
              <w:t>血清、血浆、粪便、疱疹液、组织等</w:t>
            </w:r>
            <w:r>
              <w:rPr>
                <w:rFonts w:ascii="微软雅黑" w:eastAsia="微软雅黑" w:hAnsi="微软雅黑"/>
                <w:sz w:val="24"/>
              </w:rPr>
              <w:t>多</w:t>
            </w:r>
            <w:r>
              <w:rPr>
                <w:rFonts w:ascii="微软雅黑" w:eastAsia="微软雅黑" w:hAnsi="微软雅黑" w:hint="eastAsia"/>
                <w:sz w:val="24"/>
              </w:rPr>
              <w:t>种</w:t>
            </w:r>
            <w:r>
              <w:rPr>
                <w:rFonts w:ascii="微软雅黑" w:eastAsia="微软雅黑" w:hAnsi="微软雅黑"/>
                <w:sz w:val="24"/>
              </w:rPr>
              <w:t>类型的样本中</w:t>
            </w:r>
            <w:r>
              <w:rPr>
                <w:rFonts w:ascii="微软雅黑" w:eastAsia="微软雅黑" w:hAnsi="微软雅黑" w:hint="eastAsia"/>
                <w:sz w:val="24"/>
              </w:rPr>
              <w:t>，</w:t>
            </w:r>
            <w:r>
              <w:rPr>
                <w:rFonts w:ascii="微软雅黑" w:eastAsia="微软雅黑" w:hAnsi="微软雅黑" w:hint="eastAsia"/>
                <w:b/>
                <w:sz w:val="24"/>
              </w:rPr>
              <w:t>自动化</w:t>
            </w:r>
            <w:r>
              <w:rPr>
                <w:rFonts w:ascii="微软雅黑" w:eastAsia="微软雅黑" w:hAnsi="微软雅黑" w:hint="eastAsia"/>
                <w:sz w:val="24"/>
              </w:rPr>
              <w:t>实现临床样本的</w:t>
            </w:r>
            <w:r>
              <w:rPr>
                <w:rFonts w:ascii="微软雅黑" w:eastAsia="微软雅黑" w:hAnsi="微软雅黑" w:hint="eastAsia"/>
                <w:b/>
                <w:sz w:val="24"/>
              </w:rPr>
              <w:t>核酸提取、纯化与P</w:t>
            </w:r>
            <w:r>
              <w:rPr>
                <w:rFonts w:ascii="微软雅黑" w:eastAsia="微软雅黑" w:hAnsi="微软雅黑"/>
                <w:b/>
                <w:sz w:val="24"/>
              </w:rPr>
              <w:t>CR</w:t>
            </w:r>
            <w:r>
              <w:rPr>
                <w:rFonts w:ascii="微软雅黑" w:eastAsia="微软雅黑" w:hAnsi="微软雅黑" w:hint="eastAsia"/>
                <w:b/>
                <w:sz w:val="24"/>
              </w:rPr>
              <w:t>体系构建。</w:t>
            </w:r>
          </w:p>
        </w:tc>
      </w:tr>
      <w:tr w:rsidR="00231552" w:rsidTr="00231552">
        <w:trPr>
          <w:trHeight w:val="1409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技术原理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通过</w:t>
            </w:r>
            <w:r>
              <w:rPr>
                <w:rFonts w:ascii="微软雅黑" w:eastAsia="微软雅黑" w:hAnsi="微软雅黑"/>
                <w:sz w:val="24"/>
              </w:rPr>
              <w:t>微电脑控制</w:t>
            </w:r>
            <w:r>
              <w:rPr>
                <w:rFonts w:ascii="微软雅黑" w:eastAsia="微软雅黑" w:hAnsi="微软雅黑" w:hint="eastAsia"/>
                <w:sz w:val="24"/>
              </w:rPr>
              <w:t>，采用上吸法磁珠提取技术，</w:t>
            </w:r>
            <w:r>
              <w:rPr>
                <w:rFonts w:ascii="微软雅黑" w:eastAsia="微软雅黑" w:hAnsi="微软雅黑"/>
                <w:sz w:val="24"/>
              </w:rPr>
              <w:t>通过控制磁棒和磁套的运动实现磁珠的收集、释放、转移，</w:t>
            </w:r>
            <w:r>
              <w:rPr>
                <w:rFonts w:ascii="微软雅黑" w:eastAsia="微软雅黑" w:hAnsi="微软雅黑" w:hint="eastAsia"/>
                <w:sz w:val="24"/>
              </w:rPr>
              <w:t>完成样本</w:t>
            </w:r>
            <w:r>
              <w:rPr>
                <w:rFonts w:ascii="微软雅黑" w:eastAsia="微软雅黑" w:hAnsi="微软雅黑"/>
                <w:sz w:val="24"/>
              </w:rPr>
              <w:t>核酸提取过程</w:t>
            </w:r>
            <w:r>
              <w:rPr>
                <w:rFonts w:ascii="微软雅黑" w:eastAsia="微软雅黑" w:hAnsi="微软雅黑" w:hint="eastAsia"/>
                <w:sz w:val="24"/>
              </w:rPr>
              <w:t>。并</w:t>
            </w:r>
            <w:r>
              <w:rPr>
                <w:rFonts w:ascii="微软雅黑" w:eastAsia="微软雅黑" w:hAnsi="微软雅黑"/>
                <w:sz w:val="24"/>
              </w:rPr>
              <w:t>通过分装模块实现</w:t>
            </w:r>
            <w:r>
              <w:rPr>
                <w:rFonts w:ascii="微软雅黑" w:eastAsia="微软雅黑" w:hAnsi="微软雅黑" w:hint="eastAsia"/>
                <w:sz w:val="24"/>
              </w:rPr>
              <w:t>试剂</w:t>
            </w:r>
            <w:r>
              <w:rPr>
                <w:rFonts w:ascii="微软雅黑" w:eastAsia="微软雅黑" w:hAnsi="微软雅黑"/>
                <w:sz w:val="24"/>
              </w:rPr>
              <w:t>分装和核酸加样。</w:t>
            </w:r>
          </w:p>
        </w:tc>
      </w:tr>
      <w:tr w:rsidR="00231552" w:rsidTr="00231552">
        <w:trPr>
          <w:trHeight w:val="1409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lastRenderedPageBreak/>
              <w:t>产品结构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本仪器</w:t>
            </w:r>
            <w:r>
              <w:rPr>
                <w:rFonts w:ascii="微软雅黑" w:eastAsia="微软雅黑" w:hAnsi="微软雅黑"/>
                <w:sz w:val="24"/>
              </w:rPr>
              <w:t>主要由控制部件、动力系统、工作部件、传动部件、电源部件等组成</w:t>
            </w:r>
            <w:r>
              <w:rPr>
                <w:rFonts w:ascii="微软雅黑" w:eastAsia="微软雅黑" w:hAnsi="微软雅黑" w:hint="eastAsia"/>
                <w:sz w:val="24"/>
              </w:rPr>
              <w:t>，</w:t>
            </w:r>
            <w:r>
              <w:rPr>
                <w:rFonts w:ascii="微软雅黑" w:eastAsia="微软雅黑" w:hAnsi="微软雅黑"/>
                <w:sz w:val="24"/>
              </w:rPr>
              <w:t>包括通风过滤系统、</w:t>
            </w:r>
            <w:r>
              <w:rPr>
                <w:rFonts w:ascii="微软雅黑" w:eastAsia="微软雅黑" w:hAnsi="微软雅黑" w:hint="eastAsia"/>
                <w:sz w:val="24"/>
              </w:rPr>
              <w:t>磁棒</w:t>
            </w:r>
            <w:r>
              <w:rPr>
                <w:rFonts w:ascii="微软雅黑" w:eastAsia="微软雅黑" w:hAnsi="微软雅黑"/>
                <w:sz w:val="24"/>
              </w:rPr>
              <w:t>及磁套固定框、分装模块、垂直运动系统、</w:t>
            </w:r>
            <w:r>
              <w:rPr>
                <w:rFonts w:ascii="微软雅黑" w:eastAsia="微软雅黑" w:hAnsi="微软雅黑" w:hint="eastAsia"/>
                <w:sz w:val="24"/>
              </w:rPr>
              <w:t>固体废弃物</w:t>
            </w:r>
            <w:r>
              <w:rPr>
                <w:rFonts w:ascii="微软雅黑" w:eastAsia="微软雅黑" w:hAnsi="微软雅黑"/>
                <w:sz w:val="24"/>
              </w:rPr>
              <w:t>回收</w:t>
            </w:r>
            <w:r>
              <w:rPr>
                <w:rFonts w:ascii="微软雅黑" w:eastAsia="微软雅黑" w:hAnsi="微软雅黑" w:hint="eastAsia"/>
                <w:sz w:val="24"/>
              </w:rPr>
              <w:t>盒等。</w:t>
            </w:r>
          </w:p>
        </w:tc>
      </w:tr>
      <w:tr w:rsidR="00231552" w:rsidTr="00231552">
        <w:trPr>
          <w:trHeight w:val="557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仪器</w:t>
            </w:r>
            <w:r>
              <w:rPr>
                <w:rFonts w:ascii="微软雅黑" w:eastAsia="微软雅黑" w:hAnsi="微软雅黑"/>
                <w:sz w:val="24"/>
              </w:rPr>
              <w:t>尺寸</w:t>
            </w:r>
            <w:r>
              <w:rPr>
                <w:rFonts w:ascii="微软雅黑" w:eastAsia="微软雅黑" w:hAnsi="微软雅黑" w:hint="eastAsia"/>
                <w:b/>
                <w:sz w:val="24"/>
              </w:rPr>
              <w:t>*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63ⅹ</w:t>
            </w:r>
            <w:r>
              <w:rPr>
                <w:rFonts w:ascii="微软雅黑" w:eastAsia="微软雅黑" w:hAnsi="微软雅黑"/>
                <w:sz w:val="24"/>
              </w:rPr>
              <w:t>57</w:t>
            </w:r>
            <w:r>
              <w:rPr>
                <w:rFonts w:ascii="微软雅黑" w:eastAsia="微软雅黑" w:hAnsi="微软雅黑" w:hint="eastAsia"/>
                <w:sz w:val="24"/>
              </w:rPr>
              <w:t>ⅹ</w:t>
            </w:r>
            <w:r>
              <w:rPr>
                <w:rFonts w:ascii="微软雅黑" w:eastAsia="微软雅黑" w:hAnsi="微软雅黑"/>
                <w:sz w:val="24"/>
              </w:rPr>
              <w:t>85 cm</w:t>
            </w:r>
            <w:r>
              <w:rPr>
                <w:rFonts w:ascii="微软雅黑" w:eastAsia="微软雅黑" w:hAnsi="微软雅黑" w:hint="eastAsia"/>
                <w:sz w:val="24"/>
              </w:rPr>
              <w:t>（长ⅹ宽ⅹ高），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</w:rPr>
              <w:t>放置面积≤0.4 m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vertAlign w:val="superscript"/>
              </w:rPr>
              <w:t>2</w:t>
            </w:r>
          </w:p>
        </w:tc>
      </w:tr>
      <w:tr w:rsidR="00231552" w:rsidTr="00231552">
        <w:trPr>
          <w:trHeight w:val="550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样本体积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100</w:t>
            </w:r>
            <w:r>
              <w:rPr>
                <w:rFonts w:ascii="微软雅黑" w:eastAsia="微软雅黑" w:hAnsi="微软雅黑"/>
                <w:sz w:val="24"/>
              </w:rPr>
              <w:t xml:space="preserve"> uL~</w:t>
            </w:r>
            <w:r>
              <w:rPr>
                <w:rFonts w:ascii="微软雅黑" w:eastAsia="微软雅黑" w:hAnsi="微软雅黑" w:hint="eastAsia"/>
                <w:sz w:val="24"/>
              </w:rPr>
              <w:t>500</w:t>
            </w:r>
            <w:r>
              <w:rPr>
                <w:rFonts w:ascii="微软雅黑" w:eastAsia="微软雅黑" w:hAnsi="微软雅黑"/>
                <w:sz w:val="24"/>
              </w:rPr>
              <w:t xml:space="preserve"> uL</w:t>
            </w:r>
          </w:p>
        </w:tc>
      </w:tr>
      <w:tr w:rsidR="00231552" w:rsidTr="00231552">
        <w:trPr>
          <w:trHeight w:val="558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样本通量</w:t>
            </w:r>
            <w:r>
              <w:rPr>
                <w:rFonts w:ascii="微软雅黑" w:eastAsia="微软雅黑" w:hAnsi="微软雅黑" w:hint="eastAsia"/>
                <w:b/>
                <w:sz w:val="24"/>
              </w:rPr>
              <w:t>*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1~96个/次</w:t>
            </w:r>
          </w:p>
        </w:tc>
      </w:tr>
      <w:tr w:rsidR="00231552" w:rsidTr="00231552">
        <w:trPr>
          <w:trHeight w:val="978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处理时间</w:t>
            </w:r>
            <w:r>
              <w:rPr>
                <w:rFonts w:ascii="微软雅黑" w:eastAsia="微软雅黑" w:hAnsi="微软雅黑" w:hint="eastAsia"/>
                <w:b/>
                <w:sz w:val="24"/>
              </w:rPr>
              <w:t>*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核酸</w:t>
            </w:r>
            <w:r>
              <w:rPr>
                <w:rFonts w:ascii="微软雅黑" w:eastAsia="微软雅黑" w:hAnsi="微软雅黑"/>
                <w:sz w:val="24"/>
              </w:rPr>
              <w:t>提取</w:t>
            </w:r>
            <w:r>
              <w:rPr>
                <w:rFonts w:ascii="微软雅黑" w:eastAsia="微软雅黑" w:hAnsi="微软雅黑" w:hint="eastAsia"/>
                <w:sz w:val="24"/>
              </w:rPr>
              <w:t>，</w:t>
            </w:r>
            <w:r>
              <w:rPr>
                <w:rFonts w:ascii="微软雅黑" w:eastAsia="微软雅黑" w:hAnsi="微软雅黑"/>
                <w:sz w:val="24"/>
              </w:rPr>
              <w:t>试剂分装及</w:t>
            </w:r>
            <w:r>
              <w:rPr>
                <w:rFonts w:ascii="微软雅黑" w:eastAsia="微软雅黑" w:hAnsi="微软雅黑" w:hint="eastAsia"/>
                <w:sz w:val="24"/>
              </w:rPr>
              <w:t>核酸</w:t>
            </w:r>
            <w:r>
              <w:rPr>
                <w:rFonts w:ascii="微软雅黑" w:eastAsia="微软雅黑" w:hAnsi="微软雅黑"/>
                <w:sz w:val="24"/>
              </w:rPr>
              <w:t>加样时间</w:t>
            </w:r>
            <w:r>
              <w:rPr>
                <w:rFonts w:ascii="微软雅黑" w:eastAsia="微软雅黑" w:hAnsi="微软雅黑" w:hint="eastAsia"/>
                <w:sz w:val="24"/>
              </w:rPr>
              <w:t>＜</w:t>
            </w:r>
            <w:r>
              <w:rPr>
                <w:rFonts w:ascii="微软雅黑" w:eastAsia="微软雅黑" w:hAnsi="微软雅黑"/>
                <w:sz w:val="24"/>
              </w:rPr>
              <w:t>28</w:t>
            </w:r>
            <w:r>
              <w:rPr>
                <w:rFonts w:ascii="微软雅黑" w:eastAsia="微软雅黑" w:hAnsi="微软雅黑" w:hint="eastAsia"/>
                <w:sz w:val="24"/>
              </w:rPr>
              <w:t>min；</w:t>
            </w:r>
          </w:p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配套</w:t>
            </w:r>
            <w:r>
              <w:rPr>
                <w:rFonts w:ascii="微软雅黑" w:eastAsia="微软雅黑" w:hAnsi="微软雅黑"/>
                <w:sz w:val="24"/>
              </w:rPr>
              <w:t>预装板</w:t>
            </w:r>
            <w:r>
              <w:rPr>
                <w:rFonts w:ascii="微软雅黑" w:eastAsia="微软雅黑" w:hAnsi="微软雅黑" w:hint="eastAsia"/>
                <w:sz w:val="24"/>
              </w:rPr>
              <w:t>提取</w:t>
            </w:r>
            <w:r>
              <w:rPr>
                <w:rFonts w:ascii="微软雅黑" w:eastAsia="微软雅黑" w:hAnsi="微软雅黑"/>
                <w:sz w:val="24"/>
              </w:rPr>
              <w:t>试剂盒最快</w:t>
            </w:r>
            <w:r>
              <w:rPr>
                <w:rFonts w:ascii="微软雅黑" w:eastAsia="微软雅黑" w:hAnsi="微软雅黑" w:hint="eastAsia"/>
                <w:sz w:val="24"/>
              </w:rPr>
              <w:t>可在</w:t>
            </w:r>
            <w:r>
              <w:rPr>
                <w:rFonts w:ascii="微软雅黑" w:eastAsia="微软雅黑" w:hAnsi="微软雅黑" w:hint="eastAsia"/>
                <w:b/>
                <w:sz w:val="24"/>
              </w:rPr>
              <w:t>10</w:t>
            </w:r>
            <w:r>
              <w:rPr>
                <w:rFonts w:ascii="微软雅黑" w:eastAsia="微软雅黑" w:hAnsi="微软雅黑"/>
                <w:b/>
                <w:sz w:val="24"/>
              </w:rPr>
              <w:t>min</w:t>
            </w:r>
            <w:r>
              <w:rPr>
                <w:rFonts w:ascii="微软雅黑" w:eastAsia="微软雅黑" w:hAnsi="微软雅黑" w:hint="eastAsia"/>
                <w:b/>
                <w:sz w:val="24"/>
              </w:rPr>
              <w:t>完成96个</w:t>
            </w:r>
            <w:r>
              <w:rPr>
                <w:rFonts w:ascii="微软雅黑" w:eastAsia="微软雅黑" w:hAnsi="微软雅黑"/>
                <w:b/>
                <w:sz w:val="24"/>
              </w:rPr>
              <w:t>样本</w:t>
            </w:r>
            <w:r>
              <w:rPr>
                <w:rFonts w:ascii="微软雅黑" w:eastAsia="微软雅黑" w:hAnsi="微软雅黑"/>
                <w:sz w:val="24"/>
              </w:rPr>
              <w:t>的提取</w:t>
            </w:r>
            <w:r>
              <w:rPr>
                <w:rFonts w:ascii="微软雅黑" w:eastAsia="微软雅黑" w:hAnsi="微软雅黑" w:hint="eastAsia"/>
                <w:sz w:val="24"/>
              </w:rPr>
              <w:t>；</w:t>
            </w:r>
          </w:p>
        </w:tc>
      </w:tr>
      <w:tr w:rsidR="00231552" w:rsidTr="00231552">
        <w:trPr>
          <w:trHeight w:val="552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提取方式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纳米磁珠法</w:t>
            </w:r>
          </w:p>
        </w:tc>
      </w:tr>
      <w:tr w:rsidR="00231552" w:rsidTr="00231552">
        <w:trPr>
          <w:trHeight w:val="575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振荡混合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多模式多速度可调</w:t>
            </w:r>
          </w:p>
        </w:tc>
      </w:tr>
      <w:tr w:rsidR="00231552" w:rsidTr="00231552">
        <w:trPr>
          <w:trHeight w:val="1263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污染控制</w:t>
            </w:r>
            <w:r>
              <w:rPr>
                <w:rFonts w:ascii="微软雅黑" w:eastAsia="微软雅黑" w:hAnsi="微软雅黑" w:hint="eastAsia"/>
                <w:b/>
                <w:sz w:val="24"/>
              </w:rPr>
              <w:t>*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设备</w:t>
            </w:r>
            <w:r>
              <w:rPr>
                <w:rFonts w:ascii="微软雅黑" w:eastAsia="微软雅黑" w:hAnsi="微软雅黑"/>
                <w:sz w:val="24"/>
              </w:rPr>
              <w:t>一键式日维护</w:t>
            </w:r>
            <w:r>
              <w:rPr>
                <w:rFonts w:ascii="微软雅黑" w:eastAsia="微软雅黑" w:hAnsi="微软雅黑" w:hint="eastAsia"/>
                <w:sz w:val="24"/>
              </w:rPr>
              <w:t>，</w:t>
            </w:r>
            <w:r>
              <w:rPr>
                <w:rFonts w:ascii="微软雅黑" w:eastAsia="微软雅黑" w:hAnsi="微软雅黑"/>
                <w:sz w:val="24"/>
              </w:rPr>
              <w:t>操作简便；</w:t>
            </w:r>
          </w:p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双移液泵，可实现试剂分装和核酸加样独立移液，防止交叉污染；</w:t>
            </w:r>
          </w:p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内置紫外灯，</w:t>
            </w:r>
            <w:r>
              <w:rPr>
                <w:rFonts w:ascii="微软雅黑" w:eastAsia="微软雅黑" w:hAnsi="微软雅黑"/>
                <w:sz w:val="24"/>
              </w:rPr>
              <w:t>有效清除仪器内的核酸片段，</w:t>
            </w:r>
            <w:r>
              <w:rPr>
                <w:rFonts w:ascii="微软雅黑" w:eastAsia="微软雅黑" w:hAnsi="微软雅黑" w:hint="eastAsia"/>
                <w:sz w:val="24"/>
              </w:rPr>
              <w:t>防止</w:t>
            </w:r>
            <w:r>
              <w:rPr>
                <w:rFonts w:ascii="微软雅黑" w:eastAsia="微软雅黑" w:hAnsi="微软雅黑"/>
                <w:sz w:val="24"/>
              </w:rPr>
              <w:t>交叉污染</w:t>
            </w:r>
            <w:r>
              <w:rPr>
                <w:rFonts w:ascii="微软雅黑" w:eastAsia="微软雅黑" w:hAnsi="微软雅黑" w:hint="eastAsia"/>
                <w:sz w:val="24"/>
              </w:rPr>
              <w:t>发生；</w:t>
            </w:r>
          </w:p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具备外排式HEPA高效过滤系统，可吸附截留核酸片段；</w:t>
            </w:r>
          </w:p>
        </w:tc>
      </w:tr>
      <w:tr w:rsidR="00231552" w:rsidTr="00231552">
        <w:trPr>
          <w:trHeight w:val="558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磁珠回收率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＞95%</w:t>
            </w:r>
          </w:p>
        </w:tc>
      </w:tr>
      <w:tr w:rsidR="00231552" w:rsidTr="00231552">
        <w:trPr>
          <w:trHeight w:val="536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移液通道</w:t>
            </w:r>
            <w:r>
              <w:rPr>
                <w:rFonts w:ascii="微软雅黑" w:eastAsia="微软雅黑" w:hAnsi="微软雅黑" w:hint="eastAsia"/>
                <w:b/>
                <w:sz w:val="24"/>
              </w:rPr>
              <w:t>*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双移液泵，移液通量≥9；</w:t>
            </w:r>
          </w:p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color w:val="000000" w:themeColor="text1"/>
                <w:sz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4"/>
              </w:rPr>
              <w:t>移液泵1：单道移液</w:t>
            </w:r>
            <w:r>
              <w:rPr>
                <w:rFonts w:ascii="微软雅黑" w:eastAsia="微软雅黑" w:hAnsi="微软雅黑"/>
                <w:color w:val="000000" w:themeColor="text1"/>
                <w:sz w:val="24"/>
              </w:rPr>
              <w:t>模式，</w:t>
            </w:r>
            <w:r>
              <w:rPr>
                <w:rFonts w:ascii="微软雅黑" w:eastAsia="微软雅黑" w:hAnsi="微软雅黑" w:hint="eastAsia"/>
                <w:color w:val="000000" w:themeColor="text1"/>
                <w:sz w:val="24"/>
              </w:rPr>
              <w:t>可实现</w:t>
            </w:r>
            <w:r>
              <w:rPr>
                <w:rFonts w:ascii="微软雅黑" w:eastAsia="微软雅黑" w:hAnsi="微软雅黑"/>
                <w:color w:val="000000" w:themeColor="text1"/>
                <w:sz w:val="24"/>
              </w:rPr>
              <w:t>试剂的分装</w:t>
            </w:r>
            <w:r>
              <w:rPr>
                <w:rFonts w:ascii="微软雅黑" w:eastAsia="微软雅黑" w:hAnsi="微软雅黑" w:hint="eastAsia"/>
                <w:color w:val="000000" w:themeColor="text1"/>
                <w:sz w:val="24"/>
              </w:rPr>
              <w:t>:</w:t>
            </w:r>
            <w:r>
              <w:rPr>
                <w:rFonts w:ascii="微软雅黑" w:eastAsia="微软雅黑" w:hAnsi="微软雅黑"/>
                <w:color w:val="000000" w:themeColor="text1"/>
                <w:sz w:val="24"/>
              </w:rPr>
              <w:t>；</w:t>
            </w:r>
          </w:p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4"/>
              </w:rPr>
              <w:t>移液泵2：8道移液</w:t>
            </w:r>
            <w:r>
              <w:rPr>
                <w:rFonts w:ascii="微软雅黑" w:eastAsia="微软雅黑" w:hAnsi="微软雅黑"/>
                <w:color w:val="000000" w:themeColor="text1"/>
                <w:sz w:val="24"/>
              </w:rPr>
              <w:t>模式，可实现核酸的快速</w:t>
            </w:r>
            <w:r>
              <w:rPr>
                <w:rFonts w:ascii="微软雅黑" w:eastAsia="微软雅黑" w:hAnsi="微软雅黑" w:hint="eastAsia"/>
                <w:color w:val="000000" w:themeColor="text1"/>
                <w:sz w:val="24"/>
              </w:rPr>
              <w:t>加样</w:t>
            </w:r>
            <w:r>
              <w:rPr>
                <w:rFonts w:ascii="微软雅黑" w:eastAsia="微软雅黑" w:hAnsi="微软雅黑" w:hint="eastAsia"/>
                <w:sz w:val="24"/>
              </w:rPr>
              <w:t>；</w:t>
            </w:r>
          </w:p>
        </w:tc>
      </w:tr>
      <w:tr w:rsidR="00231552" w:rsidTr="00231552">
        <w:trPr>
          <w:trHeight w:val="1409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移液精度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 xml:space="preserve">1μl : CV≤±5%; </w:t>
            </w:r>
          </w:p>
          <w:p w:rsidR="00231552" w:rsidRDefault="00231552" w:rsidP="002705E8">
            <w:pPr>
              <w:tabs>
                <w:tab w:val="center" w:pos="3719"/>
              </w:tabs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10μl: CV≤±1%</w:t>
            </w:r>
            <w:r>
              <w:rPr>
                <w:rFonts w:ascii="微软雅黑" w:eastAsia="微软雅黑" w:hAnsi="微软雅黑" w:hint="eastAsia"/>
                <w:sz w:val="24"/>
              </w:rPr>
              <w:tab/>
            </w:r>
          </w:p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20μl: CV≤±0.8%</w:t>
            </w:r>
          </w:p>
        </w:tc>
      </w:tr>
      <w:tr w:rsidR="00231552" w:rsidTr="00231552">
        <w:trPr>
          <w:trHeight w:val="550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电源要求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AC220V（±10%）；50~60Hz</w:t>
            </w:r>
          </w:p>
        </w:tc>
      </w:tr>
      <w:tr w:rsidR="00231552" w:rsidTr="00231552">
        <w:trPr>
          <w:trHeight w:val="984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运行条件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温度：10~40°C</w:t>
            </w:r>
          </w:p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湿度：＜85%</w:t>
            </w:r>
          </w:p>
        </w:tc>
      </w:tr>
      <w:tr w:rsidR="00231552" w:rsidTr="00231552">
        <w:trPr>
          <w:trHeight w:val="692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产品资质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取得注册证</w:t>
            </w:r>
          </w:p>
        </w:tc>
      </w:tr>
      <w:tr w:rsidR="00231552" w:rsidTr="00231552">
        <w:trPr>
          <w:trHeight w:val="692"/>
          <w:jc w:val="center"/>
        </w:trPr>
        <w:tc>
          <w:tcPr>
            <w:tcW w:w="1715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获得注册证的核酸检测试剂</w:t>
            </w:r>
          </w:p>
        </w:tc>
        <w:tc>
          <w:tcPr>
            <w:tcW w:w="6807" w:type="dxa"/>
            <w:vAlign w:val="center"/>
          </w:tcPr>
          <w:p w:rsidR="00231552" w:rsidRDefault="00231552" w:rsidP="002705E8">
            <w:pPr>
              <w:adjustRightInd w:val="0"/>
              <w:snapToGrid w:val="0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新冠、甲乙流、呼吸道合胞病毒、肺炎支原体、肺炎衣原体、嗜肺军团菌等，以及同品牌的核酸提取试剂。</w:t>
            </w:r>
          </w:p>
        </w:tc>
      </w:tr>
    </w:tbl>
    <w:p w:rsidR="00231552" w:rsidRPr="00AB7A8E" w:rsidRDefault="00231552" w:rsidP="00231552">
      <w:pPr>
        <w:jc w:val="center"/>
        <w:rPr>
          <w:rFonts w:ascii="黑体" w:eastAsia="黑体" w:hAnsi="Arial" w:hint="eastAsia"/>
          <w:sz w:val="36"/>
          <w:szCs w:val="36"/>
        </w:rPr>
      </w:pPr>
      <w:r>
        <w:rPr>
          <w:rFonts w:ascii="黑体" w:eastAsia="黑体" w:hAnsi="Arial" w:hint="eastAsia"/>
          <w:sz w:val="36"/>
          <w:szCs w:val="36"/>
        </w:rPr>
        <w:lastRenderedPageBreak/>
        <w:t>实时</w:t>
      </w:r>
      <w:r w:rsidRPr="00BA2073">
        <w:rPr>
          <w:rFonts w:ascii="黑体" w:eastAsia="黑体" w:hAnsi="Arial" w:hint="eastAsia"/>
          <w:sz w:val="36"/>
          <w:szCs w:val="36"/>
        </w:rPr>
        <w:t>荧光定量PCR仪技术参数表</w:t>
      </w:r>
    </w:p>
    <w:tbl>
      <w:tblPr>
        <w:tblW w:w="8208" w:type="dxa"/>
        <w:jc w:val="center"/>
        <w:tblInd w:w="-1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8"/>
        <w:gridCol w:w="6480"/>
      </w:tblGrid>
      <w:tr w:rsidR="00231552" w:rsidTr="002705E8">
        <w:tblPrEx>
          <w:tblCellMar>
            <w:top w:w="0" w:type="dxa"/>
            <w:bottom w:w="0" w:type="dxa"/>
          </w:tblCellMar>
        </w:tblPrEx>
        <w:trPr>
          <w:trHeight w:val="496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*</w:t>
            </w: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激发光源</w:t>
            </w:r>
          </w:p>
        </w:tc>
        <w:tc>
          <w:tcPr>
            <w:tcW w:w="6480" w:type="dxa"/>
            <w:vAlign w:val="center"/>
          </w:tcPr>
          <w:p w:rsidR="00231552" w:rsidRDefault="00231552" w:rsidP="002705E8">
            <w:pPr>
              <w:rPr>
                <w:rFonts w:ascii="FangSong_GB2312" w:eastAsia="FangSong_GB2312" w:hAnsi="Arial" w:hint="eastAsia"/>
                <w:sz w:val="24"/>
                <w:szCs w:val="28"/>
              </w:rPr>
            </w:pPr>
            <w:r>
              <w:rPr>
                <w:rFonts w:ascii="FangSong_GB2312" w:eastAsia="FangSong_GB2312" w:hAnsi="Arial" w:hint="eastAsia"/>
                <w:sz w:val="24"/>
                <w:szCs w:val="28"/>
              </w:rPr>
              <w:t xml:space="preserve">    大功率LED光源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496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*</w:t>
            </w: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检测器</w:t>
            </w:r>
          </w:p>
        </w:tc>
        <w:tc>
          <w:tcPr>
            <w:tcW w:w="6480" w:type="dxa"/>
            <w:vAlign w:val="center"/>
          </w:tcPr>
          <w:p w:rsidR="00231552" w:rsidRDefault="00231552" w:rsidP="002705E8">
            <w:pPr>
              <w:jc w:val="center"/>
              <w:rPr>
                <w:rFonts w:ascii="FangSong_GB2312" w:eastAsia="FangSong_GB2312" w:hAnsi="Arial" w:hint="eastAsia"/>
                <w:sz w:val="24"/>
                <w:szCs w:val="28"/>
              </w:rPr>
            </w:pPr>
            <w:r>
              <w:rPr>
                <w:rFonts w:ascii="FangSong_GB2312" w:eastAsia="FangSong_GB2312" w:hAnsi="Arial" w:hint="eastAsia"/>
                <w:sz w:val="24"/>
                <w:szCs w:val="28"/>
              </w:rPr>
              <w:t>高灵敏度光电传感器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*样本容量</w:t>
            </w:r>
          </w:p>
        </w:tc>
        <w:tc>
          <w:tcPr>
            <w:tcW w:w="6480" w:type="dxa"/>
            <w:vAlign w:val="center"/>
          </w:tcPr>
          <w:p w:rsidR="00231552" w:rsidRDefault="00231552" w:rsidP="002705E8">
            <w:pPr>
              <w:jc w:val="center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96孔</w:t>
            </w:r>
          </w:p>
          <w:p w:rsidR="00231552" w:rsidRPr="00EF3843" w:rsidRDefault="00231552" w:rsidP="002705E8">
            <w:pPr>
              <w:jc w:val="center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(</w:t>
            </w: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48×2＊0.2ml</w:t>
            </w:r>
            <w:r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,双反应模块)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2030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荧光检测波长</w:t>
            </w:r>
          </w:p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</w:p>
        </w:tc>
        <w:tc>
          <w:tcPr>
            <w:tcW w:w="6480" w:type="dxa"/>
            <w:vAlign w:val="center"/>
          </w:tcPr>
          <w:p w:rsidR="00231552" w:rsidRPr="00EF3843" w:rsidRDefault="00231552" w:rsidP="002705E8">
            <w:pPr>
              <w:snapToGrid w:val="0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通道1:470nm-510nm</w:t>
            </w:r>
          </w:p>
          <w:p w:rsidR="00231552" w:rsidRPr="00EF3843" w:rsidRDefault="00231552" w:rsidP="002705E8">
            <w:pPr>
              <w:snapToGrid w:val="0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通道2:530nm-565nm</w:t>
            </w:r>
          </w:p>
          <w:p w:rsidR="00231552" w:rsidRPr="00EF3843" w:rsidRDefault="00231552" w:rsidP="002705E8">
            <w:pPr>
              <w:snapToGrid w:val="0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通道3:580nm-620nm</w:t>
            </w:r>
          </w:p>
          <w:p w:rsidR="00231552" w:rsidRPr="00EF3843" w:rsidRDefault="00231552" w:rsidP="002705E8">
            <w:pPr>
              <w:snapToGrid w:val="0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通道4:630nm-665nm</w:t>
            </w:r>
          </w:p>
          <w:p w:rsidR="00231552" w:rsidRPr="00EF3843" w:rsidRDefault="00231552" w:rsidP="002705E8">
            <w:pPr>
              <w:snapToGrid w:val="0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 xml:space="preserve">通道5: </w:t>
            </w:r>
            <w:r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预留</w:t>
            </w:r>
          </w:p>
          <w:p w:rsidR="00231552" w:rsidRPr="00EF3843" w:rsidRDefault="00231552" w:rsidP="002705E8">
            <w:pPr>
              <w:snapToGrid w:val="0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通道6</w:t>
            </w:r>
            <w:r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: 预留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可检测的荧光素及染料</w:t>
            </w:r>
          </w:p>
        </w:tc>
        <w:tc>
          <w:tcPr>
            <w:tcW w:w="6480" w:type="dxa"/>
            <w:vAlign w:val="center"/>
          </w:tcPr>
          <w:p w:rsidR="00231552" w:rsidRPr="00EF3843" w:rsidRDefault="00231552" w:rsidP="002705E8">
            <w:pPr>
              <w:snapToGrid w:val="0"/>
              <w:jc w:val="left"/>
              <w:rPr>
                <w:rFonts w:ascii="FangSong_GB2312" w:eastAsia="FangSong_GB2312" w:hAnsi="Arial" w:hint="eastAsia"/>
                <w:szCs w:val="21"/>
              </w:rPr>
            </w:pPr>
            <w:r w:rsidRPr="002F1B07">
              <w:rPr>
                <w:rFonts w:ascii="FangSong_GB2312" w:eastAsia="FangSong_GB2312" w:hAnsi="Arial" w:hint="eastAsia"/>
                <w:szCs w:val="21"/>
              </w:rPr>
              <w:t>FAM,SYBR</w:t>
            </w:r>
            <w:r>
              <w:rPr>
                <w:rFonts w:ascii="FangSong_GB2312" w:eastAsia="FangSong_GB2312" w:hAnsi="Arial" w:hint="eastAsia"/>
                <w:szCs w:val="21"/>
              </w:rPr>
              <w:t>，</w:t>
            </w:r>
            <w:r w:rsidRPr="002F1B07">
              <w:rPr>
                <w:rFonts w:ascii="FangSong_GB2312" w:eastAsia="FangSong_GB2312" w:hAnsi="Arial" w:hint="eastAsia"/>
                <w:szCs w:val="21"/>
              </w:rPr>
              <w:t>VIC,</w:t>
            </w:r>
            <w:r>
              <w:rPr>
                <w:rFonts w:ascii="FangSong_GB2312" w:eastAsia="FangSong_GB2312" w:hAnsi="Arial" w:hint="eastAsia"/>
                <w:szCs w:val="21"/>
              </w:rPr>
              <w:t xml:space="preserve"> </w:t>
            </w:r>
            <w:r w:rsidRPr="002F1B07">
              <w:rPr>
                <w:rFonts w:ascii="FangSong_GB2312" w:eastAsia="FangSong_GB2312" w:hAnsi="Arial" w:hint="eastAsia"/>
                <w:szCs w:val="21"/>
              </w:rPr>
              <w:t>HEX,</w:t>
            </w:r>
            <w:r>
              <w:rPr>
                <w:rFonts w:ascii="FangSong_GB2312" w:eastAsia="FangSong_GB2312" w:hAnsi="Arial" w:hint="eastAsia"/>
                <w:szCs w:val="21"/>
              </w:rPr>
              <w:t xml:space="preserve"> </w:t>
            </w:r>
            <w:r w:rsidRPr="002F1B07">
              <w:rPr>
                <w:rFonts w:ascii="FangSong_GB2312" w:eastAsia="FangSong_GB2312" w:hAnsi="Arial" w:hint="eastAsia"/>
                <w:szCs w:val="21"/>
              </w:rPr>
              <w:t>Joe,</w:t>
            </w:r>
            <w:r>
              <w:rPr>
                <w:rFonts w:ascii="FangSong_GB2312" w:eastAsia="FangSong_GB2312" w:hAnsi="Arial" w:hint="eastAsia"/>
                <w:szCs w:val="21"/>
              </w:rPr>
              <w:t xml:space="preserve"> </w:t>
            </w:r>
            <w:r w:rsidRPr="002F1B07">
              <w:rPr>
                <w:rFonts w:ascii="FangSong_GB2312" w:eastAsia="FangSong_GB2312" w:hAnsi="Arial" w:hint="eastAsia"/>
                <w:szCs w:val="21"/>
              </w:rPr>
              <w:t>TET，TMRA，CY3</w:t>
            </w:r>
            <w:r>
              <w:rPr>
                <w:rFonts w:ascii="FangSong_GB2312" w:eastAsia="FangSong_GB2312" w:hAnsi="Arial" w:hint="eastAsia"/>
                <w:szCs w:val="21"/>
              </w:rPr>
              <w:t>，</w:t>
            </w:r>
            <w:r w:rsidRPr="002F1B07">
              <w:rPr>
                <w:rFonts w:ascii="FangSong_GB2312" w:eastAsia="FangSong_GB2312" w:hAnsi="Arial" w:hint="eastAsia"/>
                <w:szCs w:val="21"/>
              </w:rPr>
              <w:t>ROX,</w:t>
            </w:r>
            <w:r>
              <w:rPr>
                <w:rFonts w:ascii="FangSong_GB2312" w:eastAsia="FangSong_GB2312" w:hAnsi="Arial" w:hint="eastAsia"/>
                <w:szCs w:val="21"/>
              </w:rPr>
              <w:t xml:space="preserve"> </w:t>
            </w:r>
            <w:r w:rsidRPr="002F1B07">
              <w:rPr>
                <w:rFonts w:ascii="FangSong_GB2312" w:eastAsia="FangSong_GB2312" w:hAnsi="Arial" w:hint="eastAsia"/>
                <w:szCs w:val="21"/>
              </w:rPr>
              <w:t>Texas Red, CY5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检测方式</w:t>
            </w:r>
          </w:p>
        </w:tc>
        <w:tc>
          <w:tcPr>
            <w:tcW w:w="6480" w:type="dxa"/>
            <w:vAlign w:val="center"/>
          </w:tcPr>
          <w:p w:rsidR="00231552" w:rsidRPr="003803B8" w:rsidRDefault="00231552" w:rsidP="002705E8">
            <w:pPr>
              <w:snapToGrid w:val="0"/>
              <w:rPr>
                <w:rFonts w:ascii="FangSong_GB2312" w:eastAsia="FangSong_GB2312" w:hAnsi="Arial" w:hint="eastAsia"/>
                <w:sz w:val="24"/>
              </w:rPr>
            </w:pPr>
            <w:r w:rsidRPr="003803B8">
              <w:rPr>
                <w:rFonts w:ascii="FangSong_GB2312" w:eastAsia="FangSong_GB2312" w:hAnsi="Arial" w:hint="eastAsia"/>
                <w:sz w:val="24"/>
              </w:rPr>
              <w:t>反应管的底部侧面激发、检测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 w:rsidRPr="00D349B7">
              <w:rPr>
                <w:rFonts w:ascii="宋体" w:hAnsi="宋体" w:hint="eastAsia"/>
                <w:b/>
                <w:sz w:val="44"/>
                <w:szCs w:val="44"/>
              </w:rPr>
              <w:t>*</w:t>
            </w: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激发、检测光的传输模式</w:t>
            </w:r>
          </w:p>
        </w:tc>
        <w:tc>
          <w:tcPr>
            <w:tcW w:w="6480" w:type="dxa"/>
            <w:vAlign w:val="center"/>
          </w:tcPr>
          <w:p w:rsidR="00231552" w:rsidRPr="003803B8" w:rsidRDefault="00231552" w:rsidP="002705E8">
            <w:pPr>
              <w:snapToGrid w:val="0"/>
              <w:rPr>
                <w:rFonts w:ascii="FangSong_GB2312" w:eastAsia="FangSong_GB2312" w:hAnsi="Arial" w:hint="eastAsia"/>
                <w:sz w:val="24"/>
              </w:rPr>
            </w:pPr>
            <w:r w:rsidRPr="003803B8">
              <w:rPr>
                <w:rFonts w:ascii="FangSong_GB2312" w:eastAsia="FangSong_GB2312" w:hAnsi="Arial" w:hint="eastAsia"/>
                <w:sz w:val="24"/>
              </w:rPr>
              <w:t>每一反应孔独立的光纤传输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2F1B07" w:rsidRDefault="00231552" w:rsidP="002705E8">
            <w:pPr>
              <w:rPr>
                <w:rFonts w:ascii="宋体" w:hAnsi="宋体" w:hint="eastAsia"/>
                <w:b/>
                <w:szCs w:val="21"/>
              </w:rPr>
            </w:pPr>
            <w:r w:rsidRPr="002F1B07">
              <w:rPr>
                <w:rFonts w:ascii="宋体" w:hAnsi="宋体" w:hint="eastAsia"/>
                <w:b/>
                <w:szCs w:val="21"/>
              </w:rPr>
              <w:t>软件应用模式</w:t>
            </w:r>
          </w:p>
        </w:tc>
        <w:tc>
          <w:tcPr>
            <w:tcW w:w="6480" w:type="dxa"/>
            <w:vAlign w:val="center"/>
          </w:tcPr>
          <w:p w:rsidR="00231552" w:rsidRPr="003803B8" w:rsidRDefault="00231552" w:rsidP="002705E8">
            <w:pPr>
              <w:snapToGrid w:val="0"/>
              <w:rPr>
                <w:rFonts w:ascii="FangSong_GB2312" w:eastAsia="FangSong_GB2312" w:hAnsi="Arial" w:hint="eastAsia"/>
                <w:sz w:val="24"/>
              </w:rPr>
            </w:pPr>
            <w:r w:rsidRPr="003803B8">
              <w:rPr>
                <w:rFonts w:ascii="FangSong_GB2312" w:eastAsia="FangSong_GB2312" w:hAnsi="Arial" w:hint="eastAsia"/>
                <w:sz w:val="24"/>
              </w:rPr>
              <w:t>定量/定性、熔解曲线、多管多项目分析、相对定量、等位基因、HRM、SAT实时荧光等温扩增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模块温度范围</w:t>
            </w:r>
          </w:p>
        </w:tc>
        <w:tc>
          <w:tcPr>
            <w:tcW w:w="6480" w:type="dxa"/>
            <w:vAlign w:val="center"/>
          </w:tcPr>
          <w:p w:rsidR="00231552" w:rsidRDefault="00231552" w:rsidP="002705E8">
            <w:pPr>
              <w:jc w:val="center"/>
              <w:rPr>
                <w:rFonts w:ascii="FangSong_GB2312" w:eastAsia="FangSong_GB2312" w:hAnsi="Arial" w:hint="eastAsia"/>
                <w:sz w:val="24"/>
                <w:szCs w:val="28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"/>
                <w:attr w:name="UnitName" w:val="℃"/>
              </w:smartTagPr>
              <w:r>
                <w:rPr>
                  <w:rFonts w:ascii="FangSong_GB2312" w:eastAsia="FangSong_GB2312" w:hAnsi="Arial" w:hint="eastAsia"/>
                  <w:sz w:val="24"/>
                  <w:szCs w:val="28"/>
                </w:rPr>
                <w:t>4℃</w:t>
              </w:r>
            </w:smartTag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99"/>
                <w:attr w:name="UnitName" w:val="℃"/>
              </w:smartTagPr>
              <w:r>
                <w:rPr>
                  <w:rFonts w:ascii="FangSong_GB2312" w:eastAsia="FangSong_GB2312" w:hAnsi="Arial" w:hint="eastAsia"/>
                  <w:sz w:val="24"/>
                  <w:szCs w:val="28"/>
                </w:rPr>
                <w:t>-99℃</w:t>
              </w:r>
            </w:smartTag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检测动力学范围</w:t>
            </w:r>
          </w:p>
        </w:tc>
        <w:tc>
          <w:tcPr>
            <w:tcW w:w="6480" w:type="dxa"/>
            <w:vAlign w:val="center"/>
          </w:tcPr>
          <w:p w:rsidR="00231552" w:rsidRPr="00EF3843" w:rsidRDefault="00231552" w:rsidP="002705E8">
            <w:pPr>
              <w:jc w:val="center"/>
              <w:rPr>
                <w:rFonts w:ascii="FangSong_GB2312" w:eastAsia="FangSong_GB2312" w:hAnsi="Arial" w:hint="eastAsia"/>
                <w:sz w:val="30"/>
                <w:szCs w:val="30"/>
                <w:vertAlign w:val="superscript"/>
              </w:rPr>
            </w:pPr>
            <w:r w:rsidRPr="00EF3843">
              <w:rPr>
                <w:rFonts w:ascii="FangSong_GB2312" w:eastAsia="FangSong_GB2312" w:hAnsi="Arial" w:hint="eastAsia"/>
                <w:sz w:val="30"/>
                <w:szCs w:val="30"/>
              </w:rPr>
              <w:t>10</w:t>
            </w:r>
            <w:r w:rsidRPr="00EF3843">
              <w:rPr>
                <w:rFonts w:ascii="FangSong_GB2312" w:eastAsia="FangSong_GB2312" w:hAnsi="Arial" w:hint="eastAsia"/>
                <w:sz w:val="30"/>
                <w:szCs w:val="30"/>
                <w:vertAlign w:val="superscript"/>
              </w:rPr>
              <w:t>0</w:t>
            </w:r>
            <w:r w:rsidRPr="00EF3843">
              <w:rPr>
                <w:rFonts w:ascii="FangSong_GB2312" w:eastAsia="FangSong_GB2312" w:hAnsi="Arial" w:hint="eastAsia"/>
                <w:sz w:val="30"/>
                <w:szCs w:val="30"/>
                <w:vertAlign w:val="superscript"/>
              </w:rPr>
              <w:softHyphen/>
            </w:r>
            <w:r w:rsidRPr="00EF3843">
              <w:rPr>
                <w:rFonts w:ascii="FangSong_GB2312" w:eastAsia="FangSong_GB2312" w:hAnsi="Arial" w:hint="eastAsia"/>
                <w:sz w:val="30"/>
                <w:szCs w:val="30"/>
              </w:rPr>
              <w:t>-10</w:t>
            </w:r>
            <w:r w:rsidRPr="00EF3843">
              <w:rPr>
                <w:rFonts w:ascii="FangSong_GB2312" w:eastAsia="FangSong_GB2312" w:hAnsi="Arial" w:hint="eastAsia"/>
                <w:color w:val="000000"/>
                <w:sz w:val="30"/>
                <w:szCs w:val="30"/>
                <w:vertAlign w:val="superscript"/>
              </w:rPr>
              <w:t>10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最小检测模板</w:t>
            </w:r>
          </w:p>
        </w:tc>
        <w:tc>
          <w:tcPr>
            <w:tcW w:w="6480" w:type="dxa"/>
            <w:vAlign w:val="center"/>
          </w:tcPr>
          <w:p w:rsidR="00231552" w:rsidRDefault="00231552" w:rsidP="002705E8">
            <w:pPr>
              <w:jc w:val="center"/>
              <w:rPr>
                <w:rFonts w:ascii="FangSong_GB2312" w:eastAsia="FangSong_GB2312" w:hAnsi="Arial" w:hint="eastAsia"/>
                <w:sz w:val="24"/>
                <w:szCs w:val="28"/>
              </w:rPr>
            </w:pPr>
            <w:r>
              <w:rPr>
                <w:rFonts w:ascii="FangSong_GB2312" w:eastAsia="FangSong_GB2312" w:hAnsi="Arial" w:hint="eastAsia"/>
                <w:sz w:val="24"/>
                <w:szCs w:val="28"/>
              </w:rPr>
              <w:t>单个拷贝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反应容积</w:t>
            </w:r>
          </w:p>
        </w:tc>
        <w:tc>
          <w:tcPr>
            <w:tcW w:w="6480" w:type="dxa"/>
            <w:vAlign w:val="center"/>
          </w:tcPr>
          <w:p w:rsidR="00231552" w:rsidRPr="00EF3843" w:rsidRDefault="00231552" w:rsidP="002705E8">
            <w:pPr>
              <w:jc w:val="center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15ul-100ul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控温模式</w:t>
            </w:r>
          </w:p>
        </w:tc>
        <w:tc>
          <w:tcPr>
            <w:tcW w:w="6480" w:type="dxa"/>
            <w:vAlign w:val="center"/>
          </w:tcPr>
          <w:p w:rsidR="00231552" w:rsidRPr="00EF3843" w:rsidRDefault="00231552" w:rsidP="002705E8">
            <w:pPr>
              <w:jc w:val="center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半导体热电模块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升温速率(MAX)</w:t>
            </w:r>
          </w:p>
        </w:tc>
        <w:tc>
          <w:tcPr>
            <w:tcW w:w="6480" w:type="dxa"/>
            <w:vAlign w:val="center"/>
          </w:tcPr>
          <w:p w:rsidR="00231552" w:rsidRPr="00EF3843" w:rsidRDefault="00231552" w:rsidP="002705E8">
            <w:pPr>
              <w:jc w:val="center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smartTag w:uri="urn:schemas-microsoft-com:office:smarttags" w:element="chmetcnv">
              <w:smartTagPr>
                <w:attr w:name="UnitName" w:val="℃"/>
                <w:attr w:name="SourceValue" w:val="4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FangSong_GB2312" w:eastAsia="FangSong_GB2312" w:hAnsi="Arial" w:hint="eastAsia"/>
                  <w:color w:val="000000"/>
                  <w:sz w:val="24"/>
                  <w:szCs w:val="28"/>
                </w:rPr>
                <w:t>4</w:t>
              </w:r>
              <w:r w:rsidRPr="00EF3843">
                <w:rPr>
                  <w:rFonts w:ascii="FangSong_GB2312" w:eastAsia="FangSong_GB2312" w:hAnsi="Arial" w:hint="eastAsia"/>
                  <w:color w:val="000000"/>
                  <w:sz w:val="24"/>
                  <w:szCs w:val="28"/>
                </w:rPr>
                <w:t>℃</w:t>
              </w:r>
            </w:smartTag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/S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28"/>
          <w:jc w:val="center"/>
        </w:trPr>
        <w:tc>
          <w:tcPr>
            <w:tcW w:w="1728" w:type="dxa"/>
            <w:vAlign w:val="center"/>
          </w:tcPr>
          <w:p w:rsidR="00231552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*温控精度</w:t>
            </w:r>
          </w:p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（HRM高分辨熔解曲线）</w:t>
            </w:r>
          </w:p>
        </w:tc>
        <w:tc>
          <w:tcPr>
            <w:tcW w:w="6480" w:type="dxa"/>
            <w:vAlign w:val="center"/>
          </w:tcPr>
          <w:p w:rsidR="00231552" w:rsidRPr="00EF3843" w:rsidRDefault="00231552" w:rsidP="002705E8">
            <w:pPr>
              <w:jc w:val="center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±</w:t>
            </w:r>
            <w:smartTag w:uri="urn:schemas-microsoft-com:office:smarttags" w:element="chmetcnv">
              <w:smartTagPr>
                <w:attr w:name="UnitName" w:val="℃"/>
                <w:attr w:name="SourceValue" w:val=".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F3843">
                <w:rPr>
                  <w:rFonts w:ascii="FangSong_GB2312" w:eastAsia="FangSong_GB2312" w:hAnsi="Arial" w:hint="eastAsia"/>
                  <w:color w:val="000000"/>
                  <w:sz w:val="24"/>
                  <w:szCs w:val="28"/>
                </w:rPr>
                <w:t>0.1℃</w:t>
              </w:r>
            </w:smartTag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96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样品间温度</w:t>
            </w:r>
          </w:p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均匀性</w:t>
            </w:r>
          </w:p>
        </w:tc>
        <w:tc>
          <w:tcPr>
            <w:tcW w:w="6480" w:type="dxa"/>
            <w:vAlign w:val="center"/>
          </w:tcPr>
          <w:p w:rsidR="00231552" w:rsidRPr="00EF3843" w:rsidRDefault="00231552" w:rsidP="002705E8">
            <w:pPr>
              <w:jc w:val="center"/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</w:pPr>
            <w:r w:rsidRPr="00EF3843">
              <w:rPr>
                <w:rFonts w:ascii="FangSong_GB2312" w:eastAsia="FangSong_GB2312" w:hAnsi="Arial" w:hint="eastAsia"/>
                <w:color w:val="000000"/>
                <w:sz w:val="24"/>
                <w:szCs w:val="28"/>
              </w:rPr>
              <w:t>±</w:t>
            </w:r>
            <w:smartTag w:uri="urn:schemas-microsoft-com:office:smarttags" w:element="chmetcnv">
              <w:smartTagPr>
                <w:attr w:name="UnitName" w:val="℃"/>
                <w:attr w:name="SourceValue" w:val=".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F3843">
                <w:rPr>
                  <w:rFonts w:ascii="FangSong_GB2312" w:eastAsia="FangSong_GB2312" w:hAnsi="Arial" w:hint="eastAsia"/>
                  <w:color w:val="000000"/>
                  <w:sz w:val="24"/>
                  <w:szCs w:val="28"/>
                </w:rPr>
                <w:t>0.1℃</w:t>
              </w:r>
            </w:smartTag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88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重量</w:t>
            </w:r>
          </w:p>
        </w:tc>
        <w:tc>
          <w:tcPr>
            <w:tcW w:w="6480" w:type="dxa"/>
            <w:vAlign w:val="center"/>
          </w:tcPr>
          <w:p w:rsidR="00231552" w:rsidRPr="002A7ACA" w:rsidRDefault="00231552" w:rsidP="002705E8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smartTag w:uri="urn:schemas-microsoft-com:office:smarttags" w:element="chmetcnv">
              <w:smartTagPr>
                <w:attr w:name="UnitName" w:val="kg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A7ACA">
                <w:rPr>
                  <w:rFonts w:ascii="宋体" w:hAnsi="宋体" w:hint="eastAsia"/>
                  <w:color w:val="000000"/>
                  <w:sz w:val="24"/>
                </w:rPr>
                <w:t>18Kg</w:t>
              </w:r>
            </w:smartTag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88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尺寸(W*D</w:t>
            </w: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*H)</w:t>
            </w:r>
          </w:p>
        </w:tc>
        <w:tc>
          <w:tcPr>
            <w:tcW w:w="6480" w:type="dxa"/>
            <w:vAlign w:val="center"/>
          </w:tcPr>
          <w:p w:rsidR="00231552" w:rsidRPr="002A7ACA" w:rsidRDefault="00231552" w:rsidP="002705E8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86"/>
                <w:attr w:name="UnitName" w:val="mm"/>
              </w:smartTagPr>
              <w:r w:rsidRPr="002A7ACA">
                <w:rPr>
                  <w:rFonts w:ascii="宋体" w:hAnsi="宋体" w:hint="eastAsia"/>
                  <w:color w:val="000000"/>
                  <w:sz w:val="24"/>
                </w:rPr>
                <w:t>38</w:t>
              </w:r>
              <w:r>
                <w:rPr>
                  <w:rFonts w:ascii="宋体" w:hAnsi="宋体" w:hint="eastAsia"/>
                  <w:color w:val="000000"/>
                  <w:sz w:val="24"/>
                </w:rPr>
                <w:t>6m</w:t>
              </w:r>
              <w:r w:rsidRPr="002A7ACA">
                <w:rPr>
                  <w:rFonts w:ascii="宋体" w:hAnsi="宋体" w:hint="eastAsia"/>
                  <w:color w:val="000000"/>
                  <w:sz w:val="24"/>
                </w:rPr>
                <w:t>m</w:t>
              </w:r>
            </w:smartTag>
            <w:r>
              <w:rPr>
                <w:rFonts w:ascii="宋体" w:hAnsi="宋体" w:hint="eastAsia"/>
                <w:color w:val="000000"/>
                <w:sz w:val="24"/>
              </w:rPr>
              <w:t>*520m</w:t>
            </w:r>
            <w:r w:rsidRPr="002A7ACA">
              <w:rPr>
                <w:rFonts w:ascii="宋体" w:hAnsi="宋体" w:hint="eastAsia"/>
                <w:color w:val="000000"/>
                <w:sz w:val="24"/>
              </w:rPr>
              <w:t>m*</w:t>
            </w:r>
            <w:r>
              <w:rPr>
                <w:rFonts w:ascii="宋体" w:hAnsi="宋体" w:hint="eastAsia"/>
                <w:color w:val="000000"/>
                <w:sz w:val="24"/>
              </w:rPr>
              <w:t>250m</w:t>
            </w:r>
            <w:r w:rsidRPr="002A7ACA">
              <w:rPr>
                <w:rFonts w:ascii="宋体" w:hAnsi="宋体" w:hint="eastAsia"/>
                <w:color w:val="000000"/>
                <w:sz w:val="24"/>
              </w:rPr>
              <w:t>m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588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lastRenderedPageBreak/>
              <w:t>断电保护</w:t>
            </w:r>
          </w:p>
        </w:tc>
        <w:tc>
          <w:tcPr>
            <w:tcW w:w="6480" w:type="dxa"/>
            <w:vAlign w:val="center"/>
          </w:tcPr>
          <w:p w:rsidR="00231552" w:rsidRPr="002A7ACA" w:rsidRDefault="00231552" w:rsidP="002705E8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2A7ACA">
              <w:rPr>
                <w:rFonts w:ascii="宋体" w:hAnsi="宋体" w:hint="eastAsia"/>
                <w:color w:val="000000"/>
                <w:sz w:val="24"/>
              </w:rPr>
              <w:t>有断电保护功能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输入电源</w:t>
            </w:r>
          </w:p>
        </w:tc>
        <w:tc>
          <w:tcPr>
            <w:tcW w:w="6480" w:type="dxa"/>
            <w:vAlign w:val="center"/>
          </w:tcPr>
          <w:p w:rsidR="00231552" w:rsidRPr="002A7ACA" w:rsidRDefault="00231552" w:rsidP="002705E8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2A7ACA">
              <w:rPr>
                <w:rFonts w:ascii="宋体" w:hAnsi="宋体" w:hint="eastAsia"/>
                <w:color w:val="000000"/>
                <w:sz w:val="24"/>
              </w:rPr>
              <w:t>AC200V-240V  50HZ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1728" w:type="dxa"/>
            <w:vAlign w:val="center"/>
          </w:tcPr>
          <w:p w:rsidR="00231552" w:rsidRDefault="00231552" w:rsidP="002705E8">
            <w:pPr>
              <w:rPr>
                <w:rFonts w:hint="eastAsia"/>
                <w:szCs w:val="21"/>
              </w:rPr>
            </w:pPr>
            <w:r w:rsidRPr="002642BE">
              <w:rPr>
                <w:rFonts w:ascii="宋体" w:hAnsi="宋体" w:hint="eastAsia"/>
                <w:b/>
                <w:sz w:val="24"/>
                <w:szCs w:val="28"/>
              </w:rPr>
              <w:t>耗能</w:t>
            </w:r>
          </w:p>
        </w:tc>
        <w:tc>
          <w:tcPr>
            <w:tcW w:w="6480" w:type="dxa"/>
            <w:vAlign w:val="center"/>
          </w:tcPr>
          <w:p w:rsidR="00231552" w:rsidRPr="002A7ACA" w:rsidRDefault="00231552" w:rsidP="002705E8">
            <w:pPr>
              <w:jc w:val="center"/>
              <w:rPr>
                <w:rFonts w:ascii="宋体" w:hAnsi="宋体" w:hint="eastAsia"/>
                <w:sz w:val="24"/>
              </w:rPr>
            </w:pPr>
            <w:r w:rsidRPr="002A7ACA">
              <w:rPr>
                <w:rFonts w:ascii="宋体" w:hAnsi="宋体" w:hint="eastAsia"/>
                <w:sz w:val="24"/>
              </w:rPr>
              <w:t>≤</w:t>
            </w:r>
            <w:r>
              <w:rPr>
                <w:rFonts w:ascii="宋体" w:hAnsi="宋体" w:hint="eastAsia"/>
                <w:sz w:val="24"/>
              </w:rPr>
              <w:t>85</w:t>
            </w:r>
            <w:r w:rsidRPr="002A7ACA">
              <w:rPr>
                <w:rFonts w:ascii="宋体" w:hAnsi="宋体" w:hint="eastAsia"/>
                <w:sz w:val="24"/>
              </w:rPr>
              <w:t>0VA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619"/>
          <w:jc w:val="center"/>
        </w:trPr>
        <w:tc>
          <w:tcPr>
            <w:tcW w:w="1728" w:type="dxa"/>
            <w:vAlign w:val="center"/>
          </w:tcPr>
          <w:p w:rsidR="00231552" w:rsidRPr="00EF3843" w:rsidRDefault="00231552" w:rsidP="002705E8">
            <w:pPr>
              <w:rPr>
                <w:rFonts w:ascii="宋体" w:hAnsi="宋体" w:hint="eastAsia"/>
                <w:b/>
                <w:color w:val="000000"/>
                <w:sz w:val="24"/>
                <w:szCs w:val="28"/>
              </w:rPr>
            </w:pPr>
            <w:r w:rsidRPr="00EF3843">
              <w:rPr>
                <w:rFonts w:ascii="宋体" w:hAnsi="宋体" w:hint="eastAsia"/>
                <w:b/>
                <w:color w:val="000000"/>
                <w:sz w:val="24"/>
                <w:szCs w:val="28"/>
              </w:rPr>
              <w:t>操作系统</w:t>
            </w:r>
          </w:p>
        </w:tc>
        <w:tc>
          <w:tcPr>
            <w:tcW w:w="6480" w:type="dxa"/>
            <w:vAlign w:val="center"/>
          </w:tcPr>
          <w:p w:rsidR="00231552" w:rsidRPr="002A7ACA" w:rsidRDefault="00231552" w:rsidP="002705E8">
            <w:pPr>
              <w:snapToGrid w:val="0"/>
              <w:rPr>
                <w:rFonts w:ascii="宋体" w:hAnsi="宋体" w:hint="eastAsia"/>
                <w:color w:val="000000"/>
                <w:sz w:val="24"/>
              </w:rPr>
            </w:pPr>
            <w:r w:rsidRPr="002A7ACA">
              <w:rPr>
                <w:rFonts w:ascii="宋体" w:hAnsi="宋体" w:hint="eastAsia"/>
                <w:color w:val="000000"/>
                <w:sz w:val="24"/>
              </w:rPr>
              <w:t>中、英文</w:t>
            </w:r>
            <w:r>
              <w:rPr>
                <w:rFonts w:ascii="宋体" w:hAnsi="宋体" w:hint="eastAsia"/>
                <w:color w:val="000000"/>
                <w:sz w:val="24"/>
              </w:rPr>
              <w:t>W</w:t>
            </w:r>
            <w:r w:rsidRPr="002A7ACA">
              <w:rPr>
                <w:rFonts w:ascii="宋体" w:hAnsi="宋体" w:hint="eastAsia"/>
                <w:color w:val="000000"/>
                <w:sz w:val="24"/>
              </w:rPr>
              <w:t>in 7</w:t>
            </w:r>
            <w:r>
              <w:rPr>
                <w:rFonts w:ascii="宋体" w:hAnsi="宋体" w:hint="eastAsia"/>
                <w:color w:val="000000"/>
                <w:sz w:val="24"/>
              </w:rPr>
              <w:t>/8/10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*</w:t>
            </w: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热 盖</w:t>
            </w:r>
          </w:p>
        </w:tc>
        <w:tc>
          <w:tcPr>
            <w:tcW w:w="6480" w:type="dxa"/>
            <w:vAlign w:val="center"/>
          </w:tcPr>
          <w:p w:rsidR="00231552" w:rsidRPr="002A7ACA" w:rsidRDefault="00231552" w:rsidP="002705E8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电子自动锁控</w:t>
            </w:r>
            <w:r w:rsidRPr="002A7ACA">
              <w:rPr>
                <w:rFonts w:ascii="宋体" w:hAnsi="宋体" w:hint="eastAsia"/>
                <w:sz w:val="24"/>
              </w:rPr>
              <w:t>热盖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操作软件</w:t>
            </w:r>
          </w:p>
        </w:tc>
        <w:tc>
          <w:tcPr>
            <w:tcW w:w="6480" w:type="dxa"/>
            <w:vAlign w:val="center"/>
          </w:tcPr>
          <w:p w:rsidR="00231552" w:rsidRDefault="00231552" w:rsidP="002705E8">
            <w:pPr>
              <w:jc w:val="center"/>
              <w:rPr>
                <w:rFonts w:ascii="FangSong_GB2312" w:eastAsia="FangSong_GB2312" w:hAnsi="Arial" w:hint="eastAsia"/>
                <w:sz w:val="24"/>
                <w:szCs w:val="28"/>
              </w:rPr>
            </w:pPr>
            <w:r>
              <w:rPr>
                <w:rFonts w:ascii="FangSong_GB2312" w:eastAsia="FangSong_GB2312" w:hAnsi="Arial" w:hint="eastAsia"/>
                <w:sz w:val="24"/>
                <w:szCs w:val="28"/>
              </w:rPr>
              <w:t>全中文/全英文</w:t>
            </w:r>
          </w:p>
        </w:tc>
      </w:tr>
      <w:tr w:rsidR="00231552" w:rsidTr="002705E8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1728" w:type="dxa"/>
            <w:vAlign w:val="center"/>
          </w:tcPr>
          <w:p w:rsidR="00231552" w:rsidRPr="00D349B7" w:rsidRDefault="00231552" w:rsidP="002705E8">
            <w:pPr>
              <w:rPr>
                <w:rFonts w:ascii="宋体" w:hAnsi="宋体" w:hint="eastAsia"/>
                <w:b/>
                <w:sz w:val="24"/>
                <w:szCs w:val="28"/>
              </w:rPr>
            </w:pPr>
            <w:r w:rsidRPr="00D349B7">
              <w:rPr>
                <w:rFonts w:ascii="宋体" w:hAnsi="宋体" w:hint="eastAsia"/>
                <w:b/>
                <w:sz w:val="24"/>
                <w:szCs w:val="28"/>
              </w:rPr>
              <w:t>注册认证</w:t>
            </w:r>
          </w:p>
        </w:tc>
        <w:tc>
          <w:tcPr>
            <w:tcW w:w="6480" w:type="dxa"/>
            <w:vAlign w:val="center"/>
          </w:tcPr>
          <w:p w:rsidR="00231552" w:rsidRPr="00A03D9F" w:rsidRDefault="00231552" w:rsidP="002705E8">
            <w:pPr>
              <w:jc w:val="center"/>
              <w:rPr>
                <w:rFonts w:ascii="宋体" w:hAnsi="宋体" w:hint="eastAsia"/>
                <w:sz w:val="24"/>
                <w:szCs w:val="28"/>
              </w:rPr>
            </w:pPr>
            <w:r>
              <w:rPr>
                <w:rFonts w:ascii="Arial" w:hAnsi="Arial" w:cs="Arial" w:hint="eastAsia"/>
                <w:sz w:val="24"/>
              </w:rPr>
              <w:t>C</w:t>
            </w:r>
            <w:r w:rsidRPr="00EF3843">
              <w:rPr>
                <w:rFonts w:ascii="Arial" w:hAnsi="Arial" w:cs="Arial"/>
                <w:sz w:val="24"/>
              </w:rPr>
              <w:t>FDA</w:t>
            </w:r>
            <w:r w:rsidRPr="00EF3843">
              <w:rPr>
                <w:rFonts w:ascii="Arial" w:hAnsi="宋体" w:cs="Arial"/>
                <w:sz w:val="24"/>
              </w:rPr>
              <w:t>、</w:t>
            </w:r>
            <w:r w:rsidRPr="00EF3843">
              <w:rPr>
                <w:rFonts w:ascii="Arial" w:hAnsi="宋体" w:cs="Arial" w:hint="eastAsia"/>
                <w:sz w:val="24"/>
              </w:rPr>
              <w:t>CE</w:t>
            </w:r>
          </w:p>
        </w:tc>
      </w:tr>
    </w:tbl>
    <w:p w:rsidR="00231552" w:rsidRDefault="00231552" w:rsidP="00231552">
      <w:pPr>
        <w:rPr>
          <w:rFonts w:hint="eastAsia"/>
        </w:rPr>
      </w:pPr>
    </w:p>
    <w:p w:rsidR="00231552" w:rsidRDefault="00231552" w:rsidP="00231552">
      <w:pPr>
        <w:adjustRightInd w:val="0"/>
        <w:snapToGrid w:val="0"/>
        <w:rPr>
          <w:rFonts w:ascii="微软雅黑" w:eastAsia="微软雅黑" w:hAnsi="微软雅黑"/>
        </w:rPr>
      </w:pPr>
    </w:p>
    <w:p w:rsidR="00231552" w:rsidRPr="00DD0E91" w:rsidRDefault="00231552" w:rsidP="00231552">
      <w:pPr>
        <w:adjustRightInd w:val="0"/>
        <w:snapToGrid w:val="0"/>
        <w:rPr>
          <w:rFonts w:ascii="微软雅黑" w:eastAsia="微软雅黑" w:hAnsi="微软雅黑"/>
        </w:rPr>
      </w:pPr>
    </w:p>
    <w:p w:rsidR="00231552" w:rsidRPr="00231552" w:rsidRDefault="00231552" w:rsidP="00231552">
      <w:pPr>
        <w:rPr>
          <w:rFonts w:ascii="宋体" w:hAnsi="宋体"/>
          <w:sz w:val="24"/>
        </w:rPr>
      </w:pPr>
    </w:p>
    <w:p w:rsidR="007305D3" w:rsidRDefault="007305D3"/>
    <w:sectPr w:rsidR="007305D3" w:rsidSect="00DE19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05D3" w:rsidRDefault="007305D3" w:rsidP="00231552">
      <w:r>
        <w:separator/>
      </w:r>
    </w:p>
  </w:endnote>
  <w:endnote w:type="continuationSeparator" w:id="1">
    <w:p w:rsidR="007305D3" w:rsidRDefault="007305D3" w:rsidP="00231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05D3" w:rsidRDefault="007305D3" w:rsidP="00231552">
      <w:r>
        <w:separator/>
      </w:r>
    </w:p>
  </w:footnote>
  <w:footnote w:type="continuationSeparator" w:id="1">
    <w:p w:rsidR="007305D3" w:rsidRDefault="007305D3" w:rsidP="002315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1552"/>
    <w:rsid w:val="00231552"/>
    <w:rsid w:val="00730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5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2315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2315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3155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31552"/>
    <w:rPr>
      <w:sz w:val="18"/>
      <w:szCs w:val="18"/>
    </w:rPr>
  </w:style>
  <w:style w:type="paragraph" w:styleId="a5">
    <w:name w:val="Normal (Web)"/>
    <w:basedOn w:val="a"/>
    <w:uiPriority w:val="99"/>
    <w:qFormat/>
    <w:rsid w:val="00231552"/>
    <w:rPr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23155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31552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59"/>
    <w:qFormat/>
    <w:rsid w:val="00231552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277</Words>
  <Characters>1583</Characters>
  <Application>Microsoft Office Word</Application>
  <DocSecurity>0</DocSecurity>
  <Lines>13</Lines>
  <Paragraphs>3</Paragraphs>
  <ScaleCrop>false</ScaleCrop>
  <Company>Microsoft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</dc:creator>
  <cp:keywords/>
  <dc:description/>
  <cp:lastModifiedBy>Song</cp:lastModifiedBy>
  <cp:revision>2</cp:revision>
  <dcterms:created xsi:type="dcterms:W3CDTF">2020-10-21T09:35:00Z</dcterms:created>
  <dcterms:modified xsi:type="dcterms:W3CDTF">2020-10-21T09:44:00Z</dcterms:modified>
</cp:coreProperties>
</file>